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jc w:val="center"/>
      </w:pPr>
      <w:r>
        <w:rPr>
          <w:rFonts w:ascii="Arial" w:hAnsi="Arial"/>
          <w:b/>
          <w:color w:val="0070C0"/>
          <w:sz w:val="52"/>
        </w:rPr>
        <w:t>SURVEY DATA WAREHOUSE &amp; ETL PLATFORM</w:t>
      </w:r>
    </w:p>
    <w:p>
      <w:pPr>
        <w:spacing w:after="600"/>
        <w:jc w:val="center"/>
      </w:pPr>
      <w:r>
        <w:rPr>
          <w:rFonts w:ascii="Arial" w:hAnsi="Arial"/>
          <w:i/>
          <w:color w:val="808080"/>
          <w:sz w:val="32"/>
        </w:rPr>
        <w:t>Comprehensive Technical Documentation &amp; System Reference</w:t>
      </w:r>
    </w:p>
    <w:p>
      <w:pPr>
        <w:spacing w:line="276" w:lineRule="auto" w:after="120"/>
      </w:pPr>
      <w:r>
        <w:rPr>
          <w:rFonts w:ascii="Calibri" w:hAnsi="Calibri"/>
          <w:b/>
          <w:i w:val="0"/>
          <w:color w:val="262626"/>
          <w:sz w:val="22"/>
        </w:rPr>
        <w:t>Author: Akinkunmi Akinlabi (Lead Data Architect &amp; AI Engineer)</w:t>
      </w:r>
    </w:p>
    <w:p>
      <w:pPr>
        <w:spacing w:line="276" w:lineRule="auto" w:after="120"/>
      </w:pPr>
      <w:r>
        <w:rPr>
          <w:rFonts w:ascii="Calibri" w:hAnsi="Calibri"/>
          <w:b w:val="0"/>
          <w:i/>
          <w:color w:val="262626"/>
          <w:sz w:val="22"/>
        </w:rPr>
        <w:t>Email: akinlabiakinkunmi100@gmail.com</w:t>
      </w:r>
    </w:p>
    <w:p>
      <w:pPr>
        <w:spacing w:line="276" w:lineRule="auto" w:after="120"/>
      </w:pPr>
      <w:r>
        <w:rPr>
          <w:rFonts w:ascii="Calibri" w:hAnsi="Calibri"/>
          <w:b w:val="0"/>
          <w:i/>
          <w:color w:val="262626"/>
          <w:sz w:val="22"/>
        </w:rPr>
        <w:t>GitHub Repository: https://github.com/Akinkunmi100/Data-Warehouse-Project</w:t>
      </w:r>
    </w:p>
    <w:p>
      <w:pPr>
        <w:spacing w:line="276" w:lineRule="auto" w:after="120"/>
      </w:pPr>
      <w:r>
        <w:rPr>
          <w:rFonts w:ascii="Calibri" w:hAnsi="Calibri"/>
          <w:b w:val="0"/>
          <w:i w:val="0"/>
          <w:color w:val="262626"/>
          <w:sz w:val="22"/>
        </w:rPr>
        <w:t>Version: 1.0.0 (Production-Grade Release)</w:t>
      </w:r>
    </w:p>
    <w:p>
      <w:pPr>
        <w:spacing w:line="276" w:lineRule="auto" w:after="120"/>
      </w:pPr>
      <w:r>
        <w:rPr>
          <w:rFonts w:ascii="Calibri" w:hAnsi="Calibri"/>
          <w:b w:val="0"/>
          <w:i w:val="0"/>
          <w:color w:val="262626"/>
          <w:sz w:val="22"/>
        </w:rPr>
        <w:t>Platform: WSL2 (Ubuntu 24.04) + Docker Desktop</w:t>
      </w:r>
    </w:p>
    <w:p>
      <w:r>
        <w:br w:type="page"/>
      </w:r>
    </w:p>
    <w:p>
      <w:pPr>
        <w:spacing w:before="360" w:after="120"/>
      </w:pPr>
      <w:r>
        <w:rPr>
          <w:rFonts w:ascii="Arial" w:hAnsi="Arial"/>
          <w:b/>
          <w:color w:val="0070C0"/>
          <w:sz w:val="36"/>
        </w:rPr>
        <w:t>Table of Contents</w:t>
      </w:r>
    </w:p>
    <w:p>
      <w:pPr>
        <w:spacing w:line="276" w:lineRule="auto" w:after="120"/>
      </w:pPr>
      <w:r>
        <w:rPr>
          <w:rFonts w:ascii="Calibri" w:hAnsi="Calibri"/>
          <w:b/>
          <w:i w:val="0"/>
          <w:color w:val="262626"/>
          <w:sz w:val="22"/>
        </w:rPr>
        <w:t>1. Executive Summary</w:t>
      </w:r>
    </w:p>
    <w:p>
      <w:pPr>
        <w:spacing w:line="276" w:lineRule="auto" w:after="120"/>
      </w:pPr>
      <w:r>
        <w:rPr>
          <w:rFonts w:ascii="Calibri" w:hAnsi="Calibri"/>
          <w:b/>
          <w:i w:val="0"/>
          <w:color w:val="262626"/>
          <w:sz w:val="22"/>
        </w:rPr>
        <w:t>2. System Architecture &amp; Components</w:t>
      </w:r>
    </w:p>
    <w:p>
      <w:pPr>
        <w:spacing w:line="276" w:lineRule="auto" w:after="120"/>
      </w:pPr>
      <w:r>
        <w:rPr>
          <w:rFonts w:ascii="Calibri" w:hAnsi="Calibri"/>
          <w:b/>
          <w:i w:val="0"/>
          <w:color w:val="262626"/>
          <w:sz w:val="22"/>
        </w:rPr>
        <w:t>3. Ingestion Path details</w:t>
      </w:r>
    </w:p>
    <w:p>
      <w:pPr>
        <w:spacing w:line="276" w:lineRule="auto" w:after="120"/>
      </w:pPr>
      <w:r>
        <w:rPr>
          <w:rFonts w:ascii="Calibri" w:hAnsi="Calibri"/>
          <w:b/>
          <w:i w:val="0"/>
          <w:color w:val="262626"/>
          <w:sz w:val="22"/>
        </w:rPr>
        <w:t>4. Quality Control (QC) Engine Logic</w:t>
      </w:r>
    </w:p>
    <w:p>
      <w:pPr>
        <w:spacing w:line="276" w:lineRule="auto" w:after="120"/>
      </w:pPr>
      <w:r>
        <w:rPr>
          <w:rFonts w:ascii="Calibri" w:hAnsi="Calibri"/>
          <w:b/>
          <w:i w:val="0"/>
          <w:color w:val="262626"/>
          <w:sz w:val="22"/>
        </w:rPr>
        <w:t>5. Database Schemas, Tenant Isolation &amp; User Roles</w:t>
      </w:r>
    </w:p>
    <w:p>
      <w:pPr>
        <w:spacing w:line="276" w:lineRule="auto" w:after="120"/>
      </w:pPr>
      <w:r>
        <w:rPr>
          <w:rFonts w:ascii="Calibri" w:hAnsi="Calibri"/>
          <w:b/>
          <w:i w:val="0"/>
          <w:color w:val="262626"/>
          <w:sz w:val="22"/>
        </w:rPr>
        <w:t>6. Backup, Tiered Cloud Storage &amp; Recovery</w:t>
      </w:r>
    </w:p>
    <w:p>
      <w:pPr>
        <w:spacing w:line="276" w:lineRule="auto" w:after="120"/>
      </w:pPr>
      <w:r>
        <w:rPr>
          <w:rFonts w:ascii="Calibri" w:hAnsi="Calibri"/>
          <w:b/>
          <w:i w:val="0"/>
          <w:color w:val="262626"/>
          <w:sz w:val="22"/>
        </w:rPr>
        <w:t>7. Pre-flight Testing &amp; Deep Audit System Verification</w:t>
      </w:r>
    </w:p>
    <w:p>
      <w:r>
        <w:br w:type="page"/>
      </w:r>
    </w:p>
    <w:p>
      <w:pPr>
        <w:spacing w:before="360" w:after="120"/>
      </w:pPr>
      <w:r>
        <w:rPr>
          <w:rFonts w:ascii="Arial" w:hAnsi="Arial"/>
          <w:b/>
          <w:color w:val="0070C0"/>
          <w:sz w:val="36"/>
        </w:rPr>
        <w:t>1. Executive Summary</w:t>
      </w:r>
    </w:p>
    <w:p>
      <w:pPr>
        <w:spacing w:line="276" w:lineRule="auto" w:after="120"/>
      </w:pPr>
      <w:r>
        <w:rPr>
          <w:rFonts w:ascii="Calibri" w:hAnsi="Calibri"/>
          <w:b w:val="0"/>
          <w:i w:val="0"/>
          <w:color w:val="262626"/>
          <w:sz w:val="22"/>
        </w:rPr>
        <w:t>This document details the architecture, design patterns, and operational procedures of a production-grade, single-machine data warehouse and ETL platform. The system is custom-built for high-integrity survey research operations, running inside WSL2 (Ubuntu 24.04) and Docker Desktop.</w:t>
      </w:r>
    </w:p>
    <w:p>
      <w:pPr>
        <w:spacing w:line="276" w:lineRule="auto" w:after="120"/>
      </w:pPr>
      <w:r>
        <w:rPr>
          <w:rFonts w:ascii="Calibri" w:hAnsi="Calibri"/>
          <w:b w:val="0"/>
          <w:i w:val="0"/>
          <w:color w:val="262626"/>
          <w:sz w:val="22"/>
        </w:rPr>
        <w:t>Key goals of the project include automating the collection of survey data, validating submissions in real-time, detecting schema drift in remote APIs, enforcing database user access rules, and orchestrating secure daily cloud backups. Through this architecture, data latency is reduced from 24 hours to less than 15 minutes while establishing absolute quality assurance.</w:t>
      </w:r>
    </w:p>
    <w:p>
      <w:pPr>
        <w:spacing w:before="360" w:after="120"/>
      </w:pPr>
      <w:r>
        <w:rPr>
          <w:rFonts w:ascii="Arial" w:hAnsi="Arial"/>
          <w:b/>
          <w:color w:val="0070C0"/>
          <w:sz w:val="36"/>
        </w:rPr>
        <w:t>2. System Architecture &amp; Components</w:t>
      </w:r>
    </w:p>
    <w:p>
      <w:pPr>
        <w:spacing w:line="276" w:lineRule="auto" w:after="120"/>
      </w:pPr>
      <w:r>
        <w:rPr>
          <w:rFonts w:ascii="Calibri" w:hAnsi="Calibri"/>
          <w:b w:val="0"/>
          <w:i w:val="0"/>
          <w:color w:val="262626"/>
          <w:sz w:val="22"/>
        </w:rPr>
        <w:t>The system leverages Docker to run containerized services on a single node under Windows Subsystem for Linux (WSL2). The core configuration isolates ports and system resources while preventing service conflicts with other developer workspaces.</w:t>
      </w:r>
    </w:p>
    <w:p>
      <w:pPr>
        <w:spacing w:before="240" w:after="80"/>
      </w:pPr>
      <w:r>
        <w:rPr>
          <w:rFonts w:ascii="Arial" w:hAnsi="Arial"/>
          <w:b/>
          <w:color w:val="808080"/>
          <w:sz w:val="28"/>
        </w:rPr>
        <w:t>Core System Services:</w:t>
      </w:r>
    </w:p>
    <w:p>
      <w:pPr>
        <w:pStyle w:val="ListBullet"/>
        <w:spacing w:after="60"/>
      </w:pPr>
      <w:r>
        <w:rPr>
          <w:rFonts w:ascii="Calibri" w:hAnsi="Calibri"/>
          <w:color w:val="262626"/>
          <w:sz w:val="22"/>
        </w:rPr>
        <w:t>PostgreSQL 16 Database: Configured on custom port 5435 to avoid port collisions. Serves as the central data storage repository with fine-grained schema privileges.</w:t>
      </w:r>
    </w:p>
    <w:p>
      <w:pPr>
        <w:pStyle w:val="ListBullet"/>
        <w:spacing w:after="60"/>
      </w:pPr>
      <w:r>
        <w:rPr>
          <w:rFonts w:ascii="Calibri" w:hAnsi="Calibri"/>
          <w:color w:val="262626"/>
          <w:sz w:val="22"/>
        </w:rPr>
        <w:t>MinIO Object Storage: S3-compliant container running on port 9000 (API) and 9001 (Console). Acts as the primary storage layer for raw JSON documents.</w:t>
      </w:r>
    </w:p>
    <w:p>
      <w:pPr>
        <w:pStyle w:val="ListBullet"/>
        <w:spacing w:after="60"/>
      </w:pPr>
      <w:r>
        <w:rPr>
          <w:rFonts w:ascii="Calibri" w:hAnsi="Calibri"/>
          <w:color w:val="262626"/>
          <w:sz w:val="22"/>
        </w:rPr>
        <w:t>Prefect 3: Local orchestration server on port 4200 to schedule pipelines, log executions, and monitor task runs.</w:t>
      </w:r>
    </w:p>
    <w:p>
      <w:pPr>
        <w:pStyle w:val="ListBullet"/>
        <w:spacing w:after="60"/>
      </w:pPr>
      <w:r>
        <w:rPr>
          <w:rFonts w:ascii="Calibri" w:hAnsi="Calibri"/>
          <w:color w:val="262626"/>
          <w:sz w:val="22"/>
        </w:rPr>
        <w:t>FastAPI Webhook Gateway: Python server running on port 8001 that receives immediate form transmissions.</w:t>
      </w:r>
    </w:p>
    <w:p>
      <w:pPr>
        <w:pStyle w:val="ListBullet"/>
        <w:spacing w:after="60"/>
      </w:pPr>
      <w:r>
        <w:rPr>
          <w:rFonts w:ascii="Calibri" w:hAnsi="Calibri"/>
          <w:color w:val="262626"/>
          <w:sz w:val="22"/>
        </w:rPr>
        <w:t>BI Tools (Metabase / Superset): Started on-demand on port 3030 / 8088 to minimize RAM footprint during periods of inactivity.</w:t>
      </w:r>
    </w:p>
    <w:p>
      <w:pPr>
        <w:spacing w:before="360" w:after="120"/>
      </w:pPr>
      <w:r>
        <w:rPr>
          <w:rFonts w:ascii="Arial" w:hAnsi="Arial"/>
          <w:b/>
          <w:color w:val="0070C0"/>
          <w:sz w:val="36"/>
        </w:rPr>
        <w:t>3. Ingestion Path Details</w:t>
      </w:r>
    </w:p>
    <w:p>
      <w:pPr>
        <w:spacing w:line="276" w:lineRule="auto" w:after="120"/>
      </w:pPr>
      <w:r>
        <w:rPr>
          <w:rFonts w:ascii="Calibri" w:hAnsi="Calibri"/>
          <w:b w:val="0"/>
          <w:i w:val="0"/>
          <w:color w:val="262626"/>
          <w:sz w:val="22"/>
        </w:rPr>
        <w:t>Data enters the platform through two key data ingestion pipelines:</w:t>
      </w:r>
    </w:p>
    <w:p>
      <w:pPr>
        <w:spacing w:before="240" w:after="80"/>
      </w:pPr>
      <w:r>
        <w:rPr>
          <w:rFonts w:ascii="Arial" w:hAnsi="Arial"/>
          <w:b/>
          <w:color w:val="808080"/>
          <w:sz w:val="28"/>
        </w:rPr>
        <w:t>A. Real-Time Webhook Gateway</w:t>
      </w:r>
    </w:p>
    <w:p>
      <w:pPr>
        <w:spacing w:line="276" w:lineRule="auto" w:after="120"/>
      </w:pPr>
      <w:r>
        <w:rPr>
          <w:rFonts w:ascii="Calibri" w:hAnsi="Calibri"/>
          <w:b w:val="0"/>
          <w:i w:val="0"/>
          <w:color w:val="262626"/>
          <w:sz w:val="22"/>
        </w:rPr>
        <w:t>SurveyCTO forms can be configured to push form submissions immediately upon completion via HTTP POST to the FastAPI endpoint:</w:t>
      </w:r>
    </w:p>
    <w:p>
      <w:pPr>
        <w:spacing w:after="120"/>
        <w:ind w:left="720"/>
      </w:pPr>
      <w:r>
        <w:rPr>
          <w:rFonts w:ascii="Consolas" w:hAnsi="Consolas"/>
          <w:color w:val="404040"/>
          <w:sz w:val="19"/>
        </w:rPr>
        <w:t>POST /webhook/v1/{form_id}</w:t>
      </w:r>
    </w:p>
    <w:p>
      <w:pPr>
        <w:spacing w:line="276" w:lineRule="auto" w:after="120"/>
      </w:pPr>
      <w:r>
        <w:rPr>
          <w:rFonts w:ascii="Calibri" w:hAnsi="Calibri"/>
          <w:b w:val="0"/>
          <w:i w:val="0"/>
          <w:color w:val="262626"/>
          <w:sz w:val="22"/>
        </w:rPr>
        <w:t>Authentication is validated strictly using HMAC-SHA256 signatures via the 'X-SurveyCTO-Signature' request header. As a backup fallback, query tokens are supported. Payload flows are as follows:</w:t>
      </w:r>
    </w:p>
    <w:p>
      <w:pPr>
        <w:pStyle w:val="ListBullet"/>
        <w:spacing w:after="60"/>
      </w:pPr>
      <w:r>
        <w:rPr>
          <w:rFonts w:ascii="Calibri" w:hAnsi="Calibri"/>
          <w:color w:val="262626"/>
          <w:sz w:val="22"/>
        </w:rPr>
        <w:t>Incoming payload receives validation.</w:t>
      </w:r>
    </w:p>
    <w:p>
      <w:pPr>
        <w:pStyle w:val="ListBullet"/>
        <w:spacing w:after="60"/>
      </w:pPr>
      <w:r>
        <w:rPr>
          <w:rFonts w:ascii="Calibri" w:hAnsi="Calibri"/>
          <w:color w:val="262626"/>
          <w:sz w:val="22"/>
        </w:rPr>
        <w:t>The raw JSON text is archived immediately into the MinIO raw-bronze S3 bucket.</w:t>
      </w:r>
    </w:p>
    <w:p>
      <w:pPr>
        <w:pStyle w:val="ListBullet"/>
        <w:spacing w:after="60"/>
      </w:pPr>
      <w:r>
        <w:rPr>
          <w:rFonts w:ascii="Calibri" w:hAnsi="Calibri"/>
          <w:color w:val="262626"/>
          <w:sz w:val="22"/>
        </w:rPr>
        <w:t>An asynchronous background task flattens, sanitizes, and stages the data for Postgres ingestion.</w:t>
      </w:r>
    </w:p>
    <w:p>
      <w:pPr>
        <w:spacing w:before="240" w:after="80"/>
      </w:pPr>
      <w:r>
        <w:rPr>
          <w:rFonts w:ascii="Arial" w:hAnsi="Arial"/>
          <w:b/>
          <w:color w:val="808080"/>
          <w:sz w:val="28"/>
        </w:rPr>
        <w:t>B. Orchestrated API Incremental Sync</w:t>
      </w:r>
    </w:p>
    <w:p>
      <w:pPr>
        <w:spacing w:line="276" w:lineRule="auto" w:after="120"/>
      </w:pPr>
      <w:r>
        <w:rPr>
          <w:rFonts w:ascii="Calibri" w:hAnsi="Calibri"/>
          <w:b w:val="0"/>
          <w:i w:val="0"/>
          <w:color w:val="262626"/>
          <w:sz w:val="22"/>
        </w:rPr>
        <w:t>To handle slow or offline uploads, Prefect schedules a nightly incremental sync pipeline at 01:00. This flow connects to the SurveyCTO V2 API, fetches all submissions modified in the last 24 hours, audits for schema drift, flattens relational child tables, and upserts them into corresponding client tables using target primary keys.</w:t>
      </w:r>
    </w:p>
    <w:p>
      <w:pPr>
        <w:spacing w:before="360" w:after="120"/>
      </w:pPr>
      <w:r>
        <w:rPr>
          <w:rFonts w:ascii="Arial" w:hAnsi="Arial"/>
          <w:b/>
          <w:color w:val="0070C0"/>
          <w:sz w:val="36"/>
        </w:rPr>
        <w:t>4. Quality Control (QC) Engine Logic</w:t>
      </w:r>
    </w:p>
    <w:p>
      <w:pPr>
        <w:spacing w:line="276" w:lineRule="auto" w:after="120"/>
      </w:pPr>
      <w:r>
        <w:rPr>
          <w:rFonts w:ascii="Calibri" w:hAnsi="Calibri"/>
          <w:b w:val="0"/>
          <w:i w:val="0"/>
          <w:color w:val="262626"/>
          <w:sz w:val="22"/>
        </w:rPr>
        <w:t>The QC engine runs aPrefect task flow at 01:30 nightly to run five distinct validations on all newly ingested records, flagging violations in 'qc_system.qc_flags':</w:t>
      </w:r>
    </w:p>
    <w:p>
      <w:pPr>
        <w:spacing w:before="240" w:after="80"/>
      </w:pPr>
      <w:r>
        <w:rPr>
          <w:rFonts w:ascii="Arial" w:hAnsi="Arial"/>
          <w:b/>
          <w:color w:val="808080"/>
          <w:sz w:val="28"/>
        </w:rPr>
        <w:t>The Five In-Depth Checks:</w:t>
      </w:r>
    </w:p>
    <w:p>
      <w:pPr>
        <w:pStyle w:val="ListBullet"/>
        <w:spacing w:after="60"/>
      </w:pPr>
      <w:r>
        <w:rPr>
          <w:rFonts w:ascii="Calibri" w:hAnsi="Calibri"/>
          <w:color w:val="262626"/>
          <w:sz w:val="22"/>
        </w:rPr>
        <w:t>1. Speed / Duration Check: Analyzes form completion duration. Submissions completed faster than a physical threshold are flagged for potential fabrications.</w:t>
      </w:r>
    </w:p>
    <w:p>
      <w:pPr>
        <w:pStyle w:val="ListBullet"/>
        <w:spacing w:after="60"/>
      </w:pPr>
      <w:r>
        <w:rPr>
          <w:rFonts w:ascii="Calibri" w:hAnsi="Calibri"/>
          <w:color w:val="262626"/>
          <w:sz w:val="22"/>
        </w:rPr>
        <w:t>2. Duplicate Contact Scanning: Cross-references fields such as phone numbers, emails, and personal IDs across historical submissions. Duplicates trigger review alerts.</w:t>
      </w:r>
    </w:p>
    <w:p>
      <w:pPr>
        <w:pStyle w:val="ListBullet"/>
        <w:spacing w:after="60"/>
      </w:pPr>
      <w:r>
        <w:rPr>
          <w:rFonts w:ascii="Calibri" w:hAnsi="Calibri"/>
          <w:color w:val="262626"/>
          <w:sz w:val="22"/>
        </w:rPr>
        <w:t>3. GPS Boundary Audit: Computes coordinates against bounding polygons defining target research sites. Out-of-bounds submissions are flagged.</w:t>
      </w:r>
    </w:p>
    <w:p>
      <w:pPr>
        <w:pStyle w:val="ListBullet"/>
        <w:spacing w:after="60"/>
      </w:pPr>
      <w:r>
        <w:rPr>
          <w:rFonts w:ascii="Calibri" w:hAnsi="Calibri"/>
          <w:color w:val="262626"/>
          <w:sz w:val="22"/>
        </w:rPr>
        <w:t>4. Statistical Outliers: Detects values that fall beyond three standard deviations from historical averages for numerical survey questions.</w:t>
      </w:r>
    </w:p>
    <w:p>
      <w:pPr>
        <w:pStyle w:val="ListBullet"/>
        <w:spacing w:after="60"/>
      </w:pPr>
      <w:r>
        <w:rPr>
          <w:rFonts w:ascii="Calibri" w:hAnsi="Calibri"/>
          <w:color w:val="262626"/>
          <w:sz w:val="22"/>
        </w:rPr>
        <w:t>5. Consoles Rejections: Flags records rejected by the internal SurveyCTO reviewer console, triggering manual reconciliation workflows.</w:t>
      </w:r>
    </w:p>
    <w:p>
      <w:pPr>
        <w:spacing w:before="360" w:after="120"/>
      </w:pPr>
      <w:r>
        <w:rPr>
          <w:rFonts w:ascii="Arial" w:hAnsi="Arial"/>
          <w:b/>
          <w:color w:val="0070C0"/>
          <w:sz w:val="36"/>
        </w:rPr>
        <w:t>5. Database Schemas, Tenant Isolation &amp; User Roles</w:t>
      </w:r>
    </w:p>
    <w:p>
      <w:pPr>
        <w:spacing w:line="276" w:lineRule="auto" w:after="120"/>
      </w:pPr>
      <w:r>
        <w:rPr>
          <w:rFonts w:ascii="Calibri" w:hAnsi="Calibri"/>
          <w:b w:val="0"/>
          <w:i w:val="0"/>
          <w:color w:val="262626"/>
          <w:sz w:val="22"/>
        </w:rPr>
        <w:t>Database isolation is built into PostgreSQL schema scopes to keep clients' datasets strictly separated, ensuring multi-tenant security:</w:t>
      </w:r>
    </w:p>
    <w:p>
      <w:pPr>
        <w:spacing w:before="240" w:after="80"/>
      </w:pPr>
      <w:r>
        <w:rPr>
          <w:rFonts w:ascii="Arial" w:hAnsi="Arial"/>
          <w:b/>
          <w:color w:val="808080"/>
          <w:sz w:val="28"/>
        </w:rPr>
        <w:t>Configured Schemas:</w:t>
      </w:r>
    </w:p>
    <w:p>
      <w:pPr>
        <w:pStyle w:val="ListBullet"/>
        <w:spacing w:after="60"/>
      </w:pPr>
      <w:r>
        <w:rPr>
          <w:rFonts w:ascii="Calibri" w:hAnsi="Calibri"/>
          <w:color w:val="262626"/>
          <w:sz w:val="22"/>
        </w:rPr>
        <w:t>client_mtn: Holds operational data for the MTN client.</w:t>
      </w:r>
    </w:p>
    <w:p>
      <w:pPr>
        <w:pStyle w:val="ListBullet"/>
        <w:spacing w:after="60"/>
      </w:pPr>
      <w:r>
        <w:rPr>
          <w:rFonts w:ascii="Calibri" w:hAnsi="Calibri"/>
          <w:color w:val="262626"/>
          <w:sz w:val="22"/>
        </w:rPr>
        <w:t>client_unilever: Holds operational data for the Unilever client.</w:t>
      </w:r>
    </w:p>
    <w:p>
      <w:pPr>
        <w:pStyle w:val="ListBullet"/>
        <w:spacing w:after="60"/>
      </w:pPr>
      <w:r>
        <w:rPr>
          <w:rFonts w:ascii="Calibri" w:hAnsi="Calibri"/>
          <w:color w:val="262626"/>
          <w:sz w:val="22"/>
        </w:rPr>
        <w:t>internal: Stores administrative census datasets and system profiles.</w:t>
      </w:r>
    </w:p>
    <w:p>
      <w:pPr>
        <w:pStyle w:val="ListBullet"/>
        <w:spacing w:after="60"/>
      </w:pPr>
      <w:r>
        <w:rPr>
          <w:rFonts w:ascii="Calibri" w:hAnsi="Calibri"/>
          <w:color w:val="262626"/>
          <w:sz w:val="22"/>
        </w:rPr>
        <w:t>qc_system: Houses automated QC logs, audit logs, and flag details.</w:t>
      </w:r>
    </w:p>
    <w:p>
      <w:pPr>
        <w:spacing w:before="240" w:after="80"/>
      </w:pPr>
      <w:r>
        <w:rPr>
          <w:rFonts w:ascii="Arial" w:hAnsi="Arial"/>
          <w:b/>
          <w:color w:val="808080"/>
          <w:sz w:val="28"/>
        </w:rPr>
        <w:t>Configured Roles &amp; Logins:</w:t>
      </w:r>
    </w:p>
    <w:p>
      <w:pPr>
        <w:pStyle w:val="ListBullet"/>
        <w:spacing w:after="60"/>
      </w:pPr>
      <w:r>
        <w:rPr>
          <w:rFonts w:ascii="Calibri" w:hAnsi="Calibri"/>
          <w:color w:val="262626"/>
          <w:sz w:val="22"/>
        </w:rPr>
        <w:t>etl_writer: Has full INSERT, UPDATE, DELETE access on client tables but cannot modify schemas.</w:t>
      </w:r>
    </w:p>
    <w:p>
      <w:pPr>
        <w:pStyle w:val="ListBullet"/>
        <w:spacing w:after="60"/>
      </w:pPr>
      <w:r>
        <w:rPr>
          <w:rFonts w:ascii="Calibri" w:hAnsi="Calibri"/>
          <w:color w:val="262626"/>
          <w:sz w:val="22"/>
        </w:rPr>
        <w:t>analyst: Read-only access to clean reporting views.</w:t>
      </w:r>
    </w:p>
    <w:p>
      <w:pPr>
        <w:pStyle w:val="ListBullet"/>
        <w:spacing w:after="60"/>
      </w:pPr>
      <w:r>
        <w:rPr>
          <w:rFonts w:ascii="Calibri" w:hAnsi="Calibri"/>
          <w:color w:val="262626"/>
          <w:sz w:val="22"/>
        </w:rPr>
        <w:t>platform_admin: Complete owner privileges.</w:t>
      </w:r>
    </w:p>
    <w:p>
      <w:pPr>
        <w:spacing w:before="360" w:after="120"/>
      </w:pPr>
      <w:r>
        <w:rPr>
          <w:rFonts w:ascii="Arial" w:hAnsi="Arial"/>
          <w:b/>
          <w:color w:val="0070C0"/>
          <w:sz w:val="36"/>
        </w:rPr>
        <w:t>6. Backup, Tiered Cloud Storage &amp; Recovery</w:t>
      </w:r>
    </w:p>
    <w:p>
      <w:pPr>
        <w:spacing w:line="276" w:lineRule="auto" w:after="120"/>
      </w:pPr>
      <w:r>
        <w:rPr>
          <w:rFonts w:ascii="Calibri" w:hAnsi="Calibri"/>
          <w:b w:val="0"/>
          <w:i w:val="0"/>
          <w:color w:val="262626"/>
          <w:sz w:val="22"/>
        </w:rPr>
        <w:t>The backup pipeline runs daily at 02:00 via a bash script ('scripts/backup_r2.sh') executing the following actions:</w:t>
      </w:r>
    </w:p>
    <w:p>
      <w:pPr>
        <w:pStyle w:val="ListBullet"/>
        <w:spacing w:after="60"/>
      </w:pPr>
      <w:r>
        <w:rPr>
          <w:rFonts w:ascii="Calibri" w:hAnsi="Calibri"/>
          <w:color w:val="262626"/>
          <w:sz w:val="22"/>
        </w:rPr>
        <w:t>Database Dump: Compresses a transactionally consistent PostgreSQL dump using pg_dump.</w:t>
      </w:r>
    </w:p>
    <w:p>
      <w:pPr>
        <w:pStyle w:val="ListBullet"/>
        <w:spacing w:after="60"/>
      </w:pPr>
      <w:r>
        <w:rPr>
          <w:rFonts w:ascii="Calibri" w:hAnsi="Calibri"/>
          <w:color w:val="262626"/>
          <w:sz w:val="22"/>
        </w:rPr>
        <w:t>MinIO Archive: Compresses all raw JSON buckets into a tar.gz package.</w:t>
      </w:r>
    </w:p>
    <w:p>
      <w:pPr>
        <w:pStyle w:val="ListBullet"/>
        <w:spacing w:after="60"/>
      </w:pPr>
      <w:r>
        <w:rPr>
          <w:rFonts w:ascii="Calibri" w:hAnsi="Calibri"/>
          <w:color w:val="262626"/>
          <w:sz w:val="22"/>
        </w:rPr>
        <w:t>Growth Audits: Flags a warning if the database size grows by &gt;10% since the prior run.</w:t>
      </w:r>
    </w:p>
    <w:p>
      <w:pPr>
        <w:pStyle w:val="ListBullet"/>
        <w:spacing w:after="60"/>
      </w:pPr>
      <w:r>
        <w:rPr>
          <w:rFonts w:ascii="Calibri" w:hAnsi="Calibri"/>
          <w:color w:val="262626"/>
          <w:sz w:val="22"/>
        </w:rPr>
        <w:t>Local Retention: Maintains a local history of backups for 7 days.</w:t>
      </w:r>
    </w:p>
    <w:p>
      <w:pPr>
        <w:pStyle w:val="ListBullet"/>
        <w:spacing w:after="60"/>
      </w:pPr>
      <w:r>
        <w:rPr>
          <w:rFonts w:ascii="Calibri" w:hAnsi="Calibri"/>
          <w:color w:val="262626"/>
          <w:sz w:val="22"/>
        </w:rPr>
        <w:t>Tiered Cloud Push: Uploads the backups to Cloudflare R2 or Backblaze B2, utilizing a 30-day remote retention policy.</w:t>
      </w:r>
    </w:p>
    <w:p>
      <w:pPr>
        <w:spacing w:before="360" w:after="120"/>
      </w:pPr>
      <w:r>
        <w:rPr>
          <w:rFonts w:ascii="Arial" w:hAnsi="Arial"/>
          <w:b/>
          <w:color w:val="0070C0"/>
          <w:sz w:val="36"/>
        </w:rPr>
        <w:t>7. Pre-flight Testing &amp; Verification</w:t>
      </w:r>
    </w:p>
    <w:p>
      <w:pPr>
        <w:spacing w:line="276" w:lineRule="auto" w:after="120"/>
      </w:pPr>
      <w:r>
        <w:rPr>
          <w:rFonts w:ascii="Calibri" w:hAnsi="Calibri"/>
          <w:b w:val="0"/>
          <w:i w:val="0"/>
          <w:color w:val="262626"/>
          <w:sz w:val="22"/>
        </w:rPr>
        <w:t>System health, credentials, and API connections are monitored using two comprehensive validation scripts:</w:t>
      </w:r>
    </w:p>
    <w:p>
      <w:pPr>
        <w:spacing w:before="240" w:after="80"/>
      </w:pPr>
      <w:r>
        <w:rPr>
          <w:rFonts w:ascii="Arial" w:hAnsi="Arial"/>
          <w:b/>
          <w:color w:val="808080"/>
          <w:sz w:val="28"/>
        </w:rPr>
        <w:t>Pre-Flight Connectivity Test (test_connectivity.py)</w:t>
      </w:r>
    </w:p>
    <w:p>
      <w:pPr>
        <w:spacing w:line="276" w:lineRule="auto" w:after="120"/>
      </w:pPr>
      <w:r>
        <w:rPr>
          <w:rFonts w:ascii="Calibri" w:hAnsi="Calibri"/>
          <w:b w:val="0"/>
          <w:i w:val="0"/>
          <w:color w:val="262626"/>
          <w:sz w:val="22"/>
        </w:rPr>
        <w:t>Executes 40 distinct checks verifying network status, MinIO API responsiveness, Postgres credentials, Prefect worker availability, and secrets configurations. Pipelining stops immediately if any check fails.</w:t>
      </w:r>
    </w:p>
    <w:p>
      <w:pPr>
        <w:spacing w:before="240" w:after="80"/>
      </w:pPr>
      <w:r>
        <w:rPr>
          <w:rFonts w:ascii="Arial" w:hAnsi="Arial"/>
          <w:b/>
          <w:color w:val="808080"/>
          <w:sz w:val="28"/>
        </w:rPr>
        <w:t>Deep Quality &amp; Security Audit (deep_audit.py)</w:t>
      </w:r>
    </w:p>
    <w:p>
      <w:pPr>
        <w:spacing w:line="276" w:lineRule="auto" w:after="120"/>
      </w:pPr>
      <w:r>
        <w:rPr>
          <w:rFonts w:ascii="Calibri" w:hAnsi="Calibri"/>
          <w:b w:val="0"/>
          <w:i w:val="0"/>
          <w:color w:val="262626"/>
          <w:sz w:val="22"/>
        </w:rPr>
        <w:t>Performs 51 checks scanning Postgres user roles, ensuring schema security boundaries are active, checking TLS configs, confirming S3 encryption settings, and scanning logs for credential leaks.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